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2"/>
          <w:szCs w:val="3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ZMLUVA O PODNÁJME TRHOVÉHO MIESTA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uzavretá podľa § 663 až § 666 a nasl. zákona č. 40/1964 Zb. Občiansky zákonník v znení neskorších predpisov (ďalej len „Občiansky zákonník“)</w:t>
      </w:r>
    </w:p>
    <w:p>
      <w:pPr>
        <w:pStyle w:val="LOnormal"/>
        <w:keepNext w:val="false"/>
        <w:keepLines w:val="false"/>
        <w:widowControl/>
        <w:pBdr>
          <w:bottom w:val="single" w:sz="4" w:space="1" w:color="000000"/>
        </w:pBdr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medzi nasledovnými zmluvnými stranami: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Obchodné meno:  </w:t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Art Café s.r.o.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Sídlo: </w:t>
        <w:tab/>
        <w:tab/>
        <w:tab/>
        <w:t>Hlavná 181, 059 38 Štrba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 50 098 97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 2120171625</w:t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Registrácia: </w:t>
        <w:tab/>
        <w:tab/>
        <w:t>Obchodný register Okresného súdu v Prešove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416" w:right="0" w:firstLine="707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Oddiel: Sro, Vložka číslo:  32265/P</w:t>
        <w:br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Zastúpenie: </w:t>
        <w:tab/>
        <w:tab/>
      </w:r>
      <w:r>
        <w:rPr>
          <w:rFonts w:eastAsia="Cambria" w:cs="Cambria" w:ascii="Cambria" w:hAnsi="Cambria"/>
          <w:b/>
        </w:rPr>
        <w:t xml:space="preserve">Eva Jančíková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 konateľ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sz w:val="22"/>
          <w:szCs w:val="22"/>
        </w:rPr>
        <w:t>Obchodné meno:.....................................................</w:t>
        <w:tab/>
      </w:r>
    </w:p>
    <w:p>
      <w:pPr>
        <w:pStyle w:val="LOnormal"/>
        <w:shd w:val="clear" w:fill="FFFFFF"/>
        <w:spacing w:lineRule="auto" w:line="240" w:before="0" w:after="0"/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>
        <w:rPr>
          <w:rFonts w:eastAsia="Cambria" w:cs="Cambria" w:ascii="Cambria" w:hAnsi="Cambria"/>
          <w:b w:val="false"/>
          <w:color w:val="222222"/>
          <w:sz w:val="22"/>
          <w:szCs w:val="22"/>
        </w:rPr>
        <w:t>Sídlo:</w:t>
        <w:tab/>
        <w:t>.....................................................................................................................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IČO:........................................................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DIČ:........................................................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IČ DPH:..................................................</w:t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(ďalej len „podnájomca“)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Predmet zmluvy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420" w:right="0" w:hanging="42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 je oprávneným užívateľom dočasného trhového miesta - počas spoločensko-kultúrnej akcie „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Fest Street Food“.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</w:p>
    <w:p>
      <w:pPr>
        <w:pStyle w:val="LOnormal"/>
        <w:keepNext w:val="false"/>
        <w:keepLines w:val="false"/>
        <w:widowControl/>
        <w:numPr>
          <w:ilvl w:val="1"/>
          <w:numId w:val="3"/>
        </w:numPr>
        <w:shd w:val="clear" w:fill="auto"/>
        <w:spacing w:lineRule="auto" w:line="240" w:before="0" w:after="0"/>
        <w:ind w:left="420" w:right="0" w:hanging="42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Predmetom tejto zmluvy je podnájom časti pozemku uvedeného v bode 1.1 o výmere ..................…,m2 na účely umiestnenia predajného stánku slúžiaceho na predaj: ......................................................................................................………………….......................................(ďalej spolu len „predmet podnájmu“ alebo „trhové miesto“). 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Doba podnájmu a nájomné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 podľa tejto zmluvy je dohodnutý na dobu určitú odo dňa </w:t>
      </w:r>
      <w:r>
        <w:rPr>
          <w:rFonts w:eastAsia="Cambria" w:cs="Cambria" w:ascii="Cambria" w:hAnsi="Cambria"/>
          <w:b/>
          <w:bCs/>
        </w:rPr>
        <w:t>0</w:t>
      </w:r>
      <w:r>
        <w:rPr>
          <w:rFonts w:eastAsia="Cambria" w:cs="Cambria" w:ascii="Cambria" w:hAnsi="Cambria"/>
          <w:b/>
          <w:bCs/>
        </w:rPr>
        <w:t>5</w:t>
      </w:r>
      <w:r>
        <w:rPr>
          <w:rFonts w:eastAsia="Cambria" w:cs="Cambria" w:ascii="Cambria" w:hAnsi="Cambria"/>
          <w:b/>
          <w:bCs/>
        </w:rPr>
        <w:t>.08.202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od 12.00 hod do 0</w:t>
      </w:r>
      <w:r>
        <w:rPr>
          <w:rFonts w:eastAsia="Cambria" w:cs="Cambria" w:ascii="Cambria" w:hAnsi="Cambria"/>
          <w:b/>
          <w:bCs/>
        </w:rPr>
        <w:t>7</w:t>
      </w:r>
      <w:r>
        <w:rPr>
          <w:rFonts w:eastAsia="Cambria" w:cs="Cambria" w:ascii="Cambria" w:hAnsi="Cambria"/>
          <w:b/>
          <w:bCs/>
        </w:rPr>
        <w:t>.08.202</w:t>
      </w:r>
      <w:r>
        <w:rPr>
          <w:rFonts w:eastAsia="Cambria" w:cs="Cambria" w:ascii="Cambria" w:hAnsi="Cambria"/>
          <w:b/>
          <w:bCs/>
        </w:rPr>
        <w:t>2</w:t>
      </w:r>
      <w:r>
        <w:rPr>
          <w:rFonts w:eastAsia="Cambria" w:cs="Cambria" w:ascii="Cambria" w:hAnsi="Cambria"/>
          <w:b/>
          <w:bCs/>
        </w:rPr>
        <w:t xml:space="preserve">  d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 20.00 hod. </w:t>
      </w:r>
      <w:r>
        <w:rPr>
          <w:rFonts w:eastAsia="Cambria" w:cs="Cambria" w:ascii="Cambria" w:hAnsi="Cambria"/>
          <w:b/>
          <w:bCs/>
        </w:rPr>
        <w:t xml:space="preserve">v Kežmarku </w:t>
      </w:r>
      <w:r>
        <w:rPr>
          <w:rFonts w:eastAsia="Cambria" w:cs="Cambria" w:ascii="Cambria" w:hAnsi="Cambria"/>
          <w:b/>
          <w:bCs/>
        </w:rPr>
        <w:t>Hlavné námestie.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/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sa dohodli na nájomnom za predmet podnájmu vo výške 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500</w:t>
      </w:r>
      <w:r>
        <w:rPr>
          <w:rFonts w:eastAsia="Cambria" w:cs="Cambria" w:ascii="Cambria" w:hAnsi="Cambria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,- EUR s DPH. </w:t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Nájomné uvedené v bode 2.1 uhradí podnájomca nájomcovi prevodom na účet  (úhrada fakturácie).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Banka: Slovenská sporitelňa a.s.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560" w:right="0" w:firstLine="564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Číslo účtu v tvare IBAN: SK55 0900 0000 0050 8187 4991.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Názov účtu : Art Café. r. o.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842" w:right="0" w:firstLine="28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4"/>
        </w:numPr>
        <w:shd w:val="clear" w:fill="auto"/>
        <w:spacing w:lineRule="auto" w:line="240" w:before="0" w:after="0"/>
        <w:ind w:left="426" w:right="0" w:hanging="426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zaplatiť nájomné po prijatí zálohovej faktúry, najneskôr v deň jej splatnosti.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360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  </w:t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ab/>
        <w:tab/>
        <w:tab/>
        <w:tab/>
      </w:r>
      <w:r>
        <w:rPr>
          <w:rFonts w:eastAsia="Cambria" w:cs="Cambria" w:ascii="Cambria" w:hAnsi="Cambria"/>
          <w:b/>
        </w:rPr>
        <w:tab/>
      </w: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III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426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Odstúpenie od zmluvy</w:t>
      </w:r>
    </w:p>
    <w:p>
      <w:pPr>
        <w:pStyle w:val="LOnormal"/>
        <w:keepNext w:val="false"/>
        <w:keepLines w:val="false"/>
        <w:widowControl/>
        <w:numPr>
          <w:ilvl w:val="0"/>
          <w:numId w:val="6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Podmienky odstúpenie od zmluvy: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má právo odstúpiť od tejto zmluvy najneskôr 45 dní pred konaním danej akcie bez zmluvnej pokuty.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Pri odstúpení od zmluvy v čase kratšom ako 45 dní do konania danej akcie a dlhšom ako 15 dní do konania akcie je podnájomca povinný zaplatiť nájomcovi 50% zo stanovenej sumy za nájom. </w:t>
      </w:r>
    </w:p>
    <w:p>
      <w:pPr>
        <w:pStyle w:val="LOnormal"/>
        <w:keepNext w:val="false"/>
        <w:keepLines w:val="false"/>
        <w:widowControl/>
        <w:numPr>
          <w:ilvl w:val="0"/>
          <w:numId w:val="2"/>
        </w:numPr>
        <w:shd w:val="clear" w:fill="auto"/>
        <w:spacing w:lineRule="auto" w:line="240" w:before="0" w:after="0"/>
        <w:ind w:left="144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Pri odstúpení od zmluvy v čase kratšom ako 15 dní do konania danej akcie je podnájomca povinný zaplatiť nájomcovi 100% zo stanovenej sumy za nájom.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IV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Práva a povinnosti zmluvných strán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Nájomca sa zaväzuje prenechať podnájomcovi trhové miesto v stave spôsobilom na dohodnuté užívanie. 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Podnájomca sa zaväzuje predložiť nájomcovi všetky potrebné dokumenty, t. j.: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podnikateľské oprávnenie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potvrdenie o registrácii elektronickej alebo virtuálnej registračnej pokladnice podľa zákona č. 289/2008 Z.z.,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platné povolenie príslušného Regionálneho úradu verejného zdravotníctva SR o splnení hygienických požiadaviek na ambulantný predaj potravín, ak je toto povolenie potrebné na vykonávanie činnosti, ktorá je predmetom tejto zmluvy, </w:t>
      </w:r>
    </w:p>
    <w:p>
      <w:pPr>
        <w:pStyle w:val="LOnormal"/>
        <w:keepNext w:val="false"/>
        <w:keepLines w:val="false"/>
        <w:widowControl/>
        <w:numPr>
          <w:ilvl w:val="1"/>
          <w:numId w:val="1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riadne a včasné zaplatenie poplatku podľa Čl. II tejto Zmluvy zo strany podnájomcu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užívať predmet podnájmu výlučne na účel dohodnutý touto zmluvou.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dodržiavať platné bezpečnostné a požiarne predpisy.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oboznámiť svojich zamestnancov, ako aj iné osoby, ktoré budú podľa pokynov podnájomcu zabezpečovať prevádzku trhového miesta, so všetkými povinnosťami vyplývajúcimi z tejto zmluvy a zabezpečiť ich dodržiavanie. Za neplnenie uvedených povinností zodpovedá podnájomca.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je povinný dodržať vopred určený čas otváracej a zatváracej doby týkajúcej sa každého dňa. Pokiaľ z dopredu nezistených dôvodov nemôže uviesť svoj stánok/truck do prevádzky v zmluvne dohodnutom čase v daný deň konania akcie, je povinný ohlásiť to organizátorovi akcie s adekvátnym dôvodom. V opačnom prípade bude toto nedodržanie zmluvy pokutované sumou 100€.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Podnájomca sa zaväzuje uvoľniť a odovzdať trhové miesto nájomcovi v deň skončenia podnájmu podľa tejto zmluvy, a to najneskôr do 22:00 h. Veci ponechané na mieste po tomto čase je oprávnený odstrániť nájomca na náklady podnájomcu.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Predajcovia občerstvovacích stánkov sú povinní používat' len EKO inventár (EKO poháre, EKO taniere a misky, EKO príbory). Plastový inventár (jednorázové poháre,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taniere, misky a príbory sú zakázané). V případe, že usporiadateľ' na mieste zistí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porušenie tejto povinnosti, predajca okamžité stráca povolenie na predaj a musí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72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predajné miesto opustit' bez nároku na vrátenie poplatku za predajné miesto.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</w:t>
      </w: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>Nájomca a teda správca príležitostného trhu rozmiestnenie predajných plôch. Presné umiestnenie predajného stánku bude určené pri registrácii ráno pred začiatkom akcie po Vašom príchode.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Predajcovia občerstvovacích stánkov sú povinní mať v predajnom stánku funkčný prenosný hasiaci prístroj, pre prípad vzniknutia požiaru.</w:t>
      </w:r>
    </w:p>
    <w:p>
      <w:pPr>
        <w:pStyle w:val="LOnormal"/>
        <w:keepNext w:val="false"/>
        <w:keepLines w:val="false"/>
        <w:widowControl/>
        <w:numPr>
          <w:ilvl w:val="0"/>
          <w:numId w:val="7"/>
        </w:numPr>
        <w:shd w:val="clear" w:fill="auto"/>
        <w:spacing w:lineRule="auto" w:line="240" w:before="0" w:after="0"/>
        <w:ind w:left="720" w:right="0" w:hanging="36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Predajcovia občerstvovacích stánkov musia zabezpečit', aby mastné škvrny spôsobené prípravou jedál nezostávali na dlažbe námestia (je potrebné dlažbu pred prípravou jedál ochrániť zbernou nádobou proti úniku nečistôt, nestačí ochrana kartónmi a podobné). Dodržiavanie tejto povinnosti bude taktiež priebežne kontrolované usporiadateľom. V prípade, že usporiadateľ na mieste zistí porušenie tejto povinnosti, predajca okamžité stráca povolenie na predaj a musí predajné miesto opustit' bez nároku na vrátenie poplatku za predajné miesto. V prípade, že usporiadateľ po skončení predajnej akcie a kontrole predajného miesta zistí vzniknuté závady takéhoto druhu, bude musieť podnájomca odstrániť vzniknuté znečistenie na svoje náklady.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Článok V </w:t>
      </w:r>
    </w:p>
    <w:p>
      <w:pPr>
        <w:pStyle w:val="LOnormal"/>
        <w:jc w:val="center"/>
        <w:rPr>
          <w:rFonts w:ascii="Cambria" w:hAnsi="Cambria" w:eastAsia="Cambria" w:cs="Cambria"/>
          <w:b/>
          <w:b/>
          <w:sz w:val="22"/>
          <w:szCs w:val="22"/>
        </w:rPr>
      </w:pPr>
      <w:r>
        <w:rPr>
          <w:rFonts w:eastAsia="Cambria" w:cs="Cambria" w:ascii="Cambria" w:hAnsi="Cambria"/>
          <w:b/>
          <w:sz w:val="22"/>
          <w:szCs w:val="22"/>
        </w:rPr>
        <w:t xml:space="preserve">Pokyny pre účastníkov 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5.1 </w:t>
        <w:tab/>
        <w:t xml:space="preserve">Vstup motorového vozidla na námestie do predajnej zóny bude možný len v piatok </w:t>
      </w:r>
      <w:r>
        <w:rPr>
          <w:rFonts w:eastAsia="Cambria" w:cs="Cambria" w:ascii="Cambria" w:hAnsi="Cambria"/>
        </w:rPr>
        <w:t>0</w:t>
      </w:r>
      <w:r>
        <w:rPr>
          <w:rFonts w:eastAsia="Cambria" w:cs="Cambria" w:ascii="Cambria" w:hAnsi="Cambria"/>
        </w:rPr>
        <w:t>5</w:t>
      </w:r>
      <w:r>
        <w:rPr>
          <w:rFonts w:eastAsia="Cambria" w:cs="Cambria" w:ascii="Cambria" w:hAnsi="Cambria"/>
          <w:b w:val="false"/>
          <w:sz w:val="22"/>
          <w:szCs w:val="22"/>
        </w:rPr>
        <w:t>.0</w:t>
      </w:r>
      <w:r>
        <w:rPr>
          <w:rFonts w:eastAsia="Cambria" w:cs="Cambria" w:ascii="Cambria" w:hAnsi="Cambria"/>
        </w:rPr>
        <w:t>8</w:t>
      </w:r>
      <w:r>
        <w:rPr>
          <w:rFonts w:eastAsia="Cambria" w:cs="Cambria" w:ascii="Cambria" w:hAnsi="Cambria"/>
          <w:b w:val="false"/>
          <w:sz w:val="22"/>
          <w:szCs w:val="22"/>
        </w:rPr>
        <w:t>.202</w:t>
      </w:r>
      <w:r>
        <w:rPr>
          <w:rFonts w:eastAsia="Cambria" w:cs="Cambria" w:ascii="Cambria" w:hAnsi="Cambria"/>
          <w:b w:val="false"/>
          <w:sz w:val="22"/>
          <w:szCs w:val="22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do 10.00 hod. a v sobotu a v </w:t>
      </w:r>
      <w:r>
        <w:rPr>
          <w:rFonts w:eastAsia="Cambria" w:cs="Cambria" w:ascii="Cambria" w:hAnsi="Cambria"/>
        </w:rPr>
        <w:t>nedeľu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</w:t>
      </w:r>
      <w:r>
        <w:rPr>
          <w:rFonts w:eastAsia="Cambria" w:cs="Cambria" w:ascii="Cambria" w:hAnsi="Cambria"/>
        </w:rPr>
        <w:t>0</w:t>
      </w:r>
      <w:r>
        <w:rPr>
          <w:rFonts w:eastAsia="Cambria" w:cs="Cambria" w:ascii="Cambria" w:hAnsi="Cambria"/>
        </w:rPr>
        <w:t>6</w:t>
      </w:r>
      <w:r>
        <w:rPr>
          <w:rFonts w:eastAsia="Cambria" w:cs="Cambria" w:ascii="Cambria" w:hAnsi="Cambria"/>
        </w:rPr>
        <w:t>. a 0</w:t>
      </w:r>
      <w:r>
        <w:rPr>
          <w:rFonts w:eastAsia="Cambria" w:cs="Cambria" w:ascii="Cambria" w:hAnsi="Cambria"/>
        </w:rPr>
        <w:t>7</w:t>
      </w:r>
      <w:r>
        <w:rPr>
          <w:rFonts w:eastAsia="Cambria" w:cs="Cambria" w:ascii="Cambria" w:hAnsi="Cambria"/>
        </w:rPr>
        <w:t xml:space="preserve"> .08.202</w:t>
      </w:r>
      <w:r>
        <w:rPr>
          <w:rFonts w:eastAsia="Cambria" w:cs="Cambria" w:ascii="Cambria" w:hAnsi="Cambria"/>
        </w:rPr>
        <w:t>2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.  od 05.00 - 09.00 hod.. </w:t>
        <w:tab/>
        <w:t>Počas predajnej doby vstup motorových vozidiel do priestoru Fest Street Foodu nebude povolený, zásobovanie stánkov preto treba stihnúť do vyššie uvedených hodín.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5.2 </w:t>
        <w:tab/>
        <w:t xml:space="preserve">Počas predajnej doby nie je povolené parkovat' motorové vozidlo v priestore trhoviska. Predajcovia na parkovanie motorových vozidiel môžu </w:t>
      </w:r>
      <w:r>
        <w:rPr>
          <w:rFonts w:eastAsia="Cambria" w:cs="Cambria" w:ascii="Cambria" w:hAnsi="Cambria"/>
        </w:rPr>
        <w:t>využiť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aktuálne </w:t>
      </w:r>
      <w:r>
        <w:rPr>
          <w:rFonts w:eastAsia="Cambria" w:cs="Cambria" w:ascii="Cambria" w:hAnsi="Cambria"/>
        </w:rPr>
        <w:t>voľné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 kapacity parkovísk v </w:t>
      </w:r>
      <w:r>
        <w:rPr>
          <w:rFonts w:eastAsia="Cambria" w:cs="Cambria" w:ascii="Cambria" w:hAnsi="Cambria"/>
        </w:rPr>
        <w:t>meste Kežmarok.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5.3</w:t>
        <w:tab/>
        <w:t>Umiestnenie vozidla, resp. prívesného vozíka za predajným stánkom slúžiaceho ako príručný sklad je povolené len v opodstatnených prípadoch (po dohode s usporiadateľom vopred!) a len na určených miestach.</w:t>
      </w:r>
    </w:p>
    <w:p>
      <w:pPr>
        <w:pStyle w:val="LOnormal"/>
        <w:jc w:val="left"/>
        <w:rPr/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5.4 </w:t>
        <w:tab/>
        <w:t xml:space="preserve">Pri vstupe motorového vozidla do zóny FSF je nutné dodržiavať pokyny mestskej polície a usporiadateľskej služby.  </w:t>
      </w:r>
      <w:r>
        <w:rPr>
          <w:rFonts w:eastAsia="Cambria" w:cs="Cambria" w:ascii="Cambria" w:hAnsi="Cambria"/>
        </w:rPr>
        <w:t>Usporiadateľ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si vyhradzuje právo nevpustiť do zóny FSF nepozvaných predajcov a neumožnit' predajcovi predaj, resp. </w:t>
      </w:r>
      <w:r>
        <w:rPr>
          <w:rFonts w:eastAsia="Cambria" w:cs="Cambria" w:ascii="Cambria" w:hAnsi="Cambria"/>
        </w:rPr>
        <w:t>zrušiť</w:t>
      </w:r>
      <w:r>
        <w:rPr>
          <w:rFonts w:eastAsia="Cambria" w:cs="Cambria" w:ascii="Cambria" w:hAnsi="Cambria"/>
          <w:b w:val="false"/>
          <w:sz w:val="22"/>
          <w:szCs w:val="22"/>
        </w:rPr>
        <w:t xml:space="preserve">' jeho registráciu a </w:t>
      </w:r>
      <w:r>
        <w:rPr>
          <w:rFonts w:eastAsia="Cambria" w:cs="Cambria" w:ascii="Cambria" w:hAnsi="Cambria"/>
        </w:rPr>
        <w:t>účasť</w:t>
      </w:r>
      <w:r>
        <w:rPr>
          <w:rFonts w:eastAsia="Cambria" w:cs="Cambria" w:ascii="Cambria" w:hAnsi="Cambria"/>
          <w:b w:val="false"/>
          <w:sz w:val="22"/>
          <w:szCs w:val="22"/>
        </w:rPr>
        <w:t>' na akcii, ak nedodrží stanovený sortiment predaja alebo poruší organizačné pokyny. Účastníci  si zabezpečia bezpečné stavanie stánkov sami na vlastne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5.5 </w:t>
        <w:tab/>
        <w:t>Žiadame predajcov aby počas podujatia svojvoľne nepremiestňovali svoje predajné stánky.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5.6 </w:t>
        <w:tab/>
        <w:t>Ubytovanie si účastníci jarmoku zabezpečujú na vlastné náklady.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5. 7</w:t>
        <w:tab/>
        <w:t xml:space="preserve">Usporiadatelia poskytujú predajcom elektrickú energiu na základe požiadavky uvedenej v záväznej prihláške. Podmienkou je vlastné technické zariadenie a elektrický kábel na pripojenie do siete, ktoré zodpovedajú súčasným platným bezpečnostným normám. 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5.8 Predajcovia sú povinní zabezpečit' obchodný tovar, stánky, zariadenia tak, aby nedošlo k ich odcudzeniu, poškodeniu, požiaru, a taktiež, aby nedošlo k ublíženiu na zdraví ich samotných alebo iných </w:t>
      </w:r>
      <w:r>
        <w:rPr>
          <w:rFonts w:eastAsia="Cambria" w:cs="Cambria" w:ascii="Cambria" w:hAnsi="Cambria"/>
        </w:rPr>
        <w:t>osôb</w:t>
      </w:r>
      <w:r>
        <w:rPr>
          <w:rFonts w:eastAsia="Cambria" w:cs="Cambria" w:ascii="Cambria" w:hAnsi="Cambria"/>
          <w:b w:val="false"/>
          <w:sz w:val="22"/>
          <w:szCs w:val="22"/>
        </w:rPr>
        <w:t>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5.9 </w:t>
        <w:tab/>
        <w:t>Prevádzkovatelia občerstvovacích stánkov zodpovedajú za stav svojich technických zariadení, elektrických káblov a elektrických prípojok. Žiadame predajcov, aby dodržiavali odber elektrickej energie, ako bolo uvedené v záväznej prihláške.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5.10 Predajcovia sú povinní dodržiavať jednotlivé ustanovenia: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178/ 1998 Z.z. o podmienkach predaja výrobkov a poskytovania služieb na trhových miestach a o zmene a doplnení zákona č. 455/1991 Zb. o živnostenskom podnikaní (živnostenský zákon)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 č. 152/1995 Z.z. o potravinách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289/ 2008 Z. z. o používaní elektronickej registračnej pokladnice a o zmene a doplnení zákona Slovenskej národnej rady č. 511/1992 Zb. o správe daní a poplatkov a o zmenách v sústave územných finančných orgánov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- </w:t>
        <w:tab/>
        <w:t>Zákona č. 563/ 2009 Z. z. o správe daní (daňový poriadok)a o zmene a doplnení niektorých zákonov, Zákon č. 250/ 2007 Z. z. o ochrane spotrebitel'a a o zmene zákona Slovenskej národnej rady č. 372/ 1990 Zb. o priestupkoch v znení neskorších predpisov,</w:t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>-</w:t>
        <w:tab/>
        <w:t>Zákona č. 455/ 1991 Zb. o živnostenskom podnikaní (Živnostenský zákon), ako aj ostatne platné legislatívne normy a je povinný dodržiavať trhový poriadok, organizačné pokyny a záväzné hygienické pokyny.</w:t>
      </w:r>
    </w:p>
    <w:p>
      <w:pPr>
        <w:pStyle w:val="LOnormal"/>
        <w:keepNext w:val="true"/>
        <w:keepLines/>
        <w:widowControl/>
        <w:pBdr/>
        <w:shd w:val="clear" w:fill="auto"/>
        <w:spacing w:lineRule="auto" w:line="259" w:before="480" w:after="0"/>
        <w:ind w:left="0" w:right="0" w:hanging="0"/>
        <w:jc w:val="center"/>
        <w:rPr>
          <w:rFonts w:ascii="Cambria" w:hAnsi="Cambria" w:eastAsia="Cambria" w:cs="Cambria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Článok VI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Záverečné ustanovenia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vzťahy medzi zmluvnými stranami neupravené touto zmluvou sa spravujú príslušnými ustanoveniami Občianskeho zákonníka a ostatných všeobecne záväzných platných právnych predpisov Slovenskej republiky.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Všetky zmeny alebo doplnky tejto zmluvy sa musia uskutočniť vo forme písomných dodatkov podpísaných zmluvnými stranami.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Táto zmluva je vyhotovená v 2 (dvoch) rovnopisoch, pričom pre každú zo zmluvných strán je určený 1 (jeden) rovnopis. </w:t>
      </w:r>
    </w:p>
    <w:p>
      <w:pPr>
        <w:pStyle w:val="LOnormal"/>
        <w:keepNext w:val="false"/>
        <w:keepLines w:val="false"/>
        <w:widowControl/>
        <w:numPr>
          <w:ilvl w:val="0"/>
          <w:numId w:val="5"/>
        </w:numPr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Zmluvné strany vyhlasujú, že si túto zmluvu prečítali, jej obsahu porozumeli, zmluvné prejavy vôle sú dostatočne určité a zrozumiteľné a ich zmluvná voľnosť nie je ničím obmedzená a na znak súhlasu so zmluvou ju vlastnoručne podpisujú.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1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spacing w:lineRule="auto" w:line="276" w:before="0" w:after="200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V Štrbe, dňa 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Nájomca:</w:t>
        <w:tab/>
        <w:tab/>
        <w:tab/>
        <w:tab/>
        <w:tab/>
        <w:tab/>
        <w:tab/>
        <w:tab/>
        <w:t xml:space="preserve">Podnájomca: </w:t>
        <w:tab/>
        <w:tab/>
        <w:tab/>
        <w:tab/>
        <w:tab/>
        <w:tab/>
        <w:tab/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mbria" w:hAnsi="Cambria" w:eastAsia="Cambria" w:cs="Cambria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>
          <w:rFonts w:eastAsia="Cambria" w:cs="Cambria" w:ascii="Cambria" w:hAnsi="Cambri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r>
    </w:p>
    <w:p>
      <w:pPr>
        <w:pStyle w:val="LOnormal"/>
        <w:jc w:val="left"/>
        <w:rPr>
          <w:rFonts w:ascii="Cambria" w:hAnsi="Cambria" w:eastAsia="Cambria" w:cs="Cambria"/>
          <w:b w:val="false"/>
          <w:b w:val="false"/>
          <w:sz w:val="22"/>
          <w:szCs w:val="22"/>
        </w:rPr>
      </w:pPr>
      <w:r>
        <w:rPr>
          <w:rFonts w:eastAsia="Cambria" w:cs="Cambria" w:ascii="Cambria" w:hAnsi="Cambria"/>
          <w:b w:val="false"/>
          <w:sz w:val="22"/>
          <w:szCs w:val="22"/>
        </w:rPr>
        <w:t xml:space="preserve">............................................... </w:t>
        <w:tab/>
        <w:tab/>
        <w:tab/>
        <w:tab/>
        <w:tab/>
        <w:tab/>
        <w:t>......................................</w:t>
      </w:r>
    </w:p>
    <w:p>
      <w:pPr>
        <w:pStyle w:val="LOnormal"/>
        <w:spacing w:lineRule="auto" w:line="240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❖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3"/>
      <w:numFmt w:val="bullet"/>
      <w:lvlText w:val="-"/>
      <w:lvlJc w:val="left"/>
      <w:pPr>
        <w:ind w:left="720" w:hanging="360"/>
      </w:pPr>
      <w:rPr>
        <w:rFonts w:ascii="Noto Sans Symbols" w:hAnsi="Noto Sans Symbols" w:cs="Noto Sans Symbols" w:hint="default"/>
        <w:sz w:val="22"/>
        <w:b w:val="false"/>
        <w:szCs w:val="22"/>
        <w:rFonts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lvl w:ilvl="0">
      <w:start w:val="3"/>
      <w:numFmt w:val="bullet"/>
      <w:lvlText w:val="-"/>
      <w:lvlJc w:val="left"/>
      <w:pPr>
        <w:ind w:left="1440" w:hanging="360"/>
      </w:pPr>
      <w:rPr>
        <w:rFonts w:ascii="Noto Sans Symbols" w:hAnsi="Noto Sans Symbols" w:cs="Noto Sans Symbols" w:hint="default"/>
        <w:sz w:val="24"/>
        <w:b w:val="false"/>
        <w:szCs w:val="24"/>
        <w:rFonts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lvl w:ilvl="0">
      <w:start w:val="1"/>
      <w:numFmt w:val="decimal"/>
      <w:lvlText w:val="2.%1."/>
      <w:lvlJc w:val="left"/>
      <w:pPr>
        <w:ind w:left="1440" w:hanging="360"/>
      </w:pPr>
      <w:rPr>
        <w:sz w:val="22"/>
        <w:b w:val="false"/>
        <w:szCs w:val="22"/>
        <w:rFonts w:ascii="Cambria" w:hAnsi="Cambria" w:eastAsia="Cambria" w:cs="Cambri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sk-SK" w:eastAsia="zh-CN" w:bidi="hi-IN"/>
      </w:rPr>
    </w:rPrDefault>
    <w:pPrDefault>
      <w:pPr/>
    </w:pPrDefault>
  </w:docDefaults>
  <w:style w:type="paragraph" w:styleId="Normal" w:default="1">
    <w:name w:val="Normal"/>
    <w:qFormat/>
    <w:rsid w:val="004d33c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next w:val="LOnormal"/>
    <w:link w:val="Nadpis1Char"/>
    <w:uiPriority w:val="9"/>
    <w:qFormat/>
    <w:rsid w:val="00976b90"/>
    <w:pPr>
      <w:keepNext w:val="true"/>
      <w:keepLines/>
      <w:widowControl/>
      <w:bidi w:val="0"/>
      <w:spacing w:before="480" w:after="0" w:lineRule="auto" w:line="259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auto"/>
      <w:kern w:val="0"/>
      <w:sz w:val="28"/>
      <w:szCs w:val="28"/>
      <w:lang w:val="sk-SK" w:eastAsia="zh-CN" w:bidi="hi-IN"/>
    </w:rPr>
  </w:style>
  <w:style w:type="paragraph" w:styleId="Nadpis2">
    <w:name w:val="Heading 2"/>
    <w:next w:val="LO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sk-SK" w:eastAsia="zh-CN" w:bidi="hi-IN"/>
    </w:rPr>
  </w:style>
  <w:style w:type="paragraph" w:styleId="Nadpis3">
    <w:name w:val="Heading 3"/>
    <w:next w:val="LO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sk-SK" w:eastAsia="zh-CN" w:bidi="hi-IN"/>
    </w:rPr>
  </w:style>
  <w:style w:type="paragraph" w:styleId="Nadpis4">
    <w:name w:val="Heading 4"/>
    <w:next w:val="LO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sk-SK" w:eastAsia="zh-CN" w:bidi="hi-IN"/>
    </w:rPr>
  </w:style>
  <w:style w:type="paragraph" w:styleId="Nadpis5">
    <w:name w:val="Heading 5"/>
    <w:next w:val="LO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sk-SK" w:eastAsia="zh-CN" w:bidi="hi-IN"/>
    </w:rPr>
  </w:style>
  <w:style w:type="paragraph" w:styleId="Nadpis6">
    <w:name w:val="Heading 6"/>
    <w:next w:val="LO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sk-SK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76b90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ListLabel1">
    <w:name w:val="ListLabel 1"/>
    <w:qFormat/>
    <w:rPr>
      <w:rFonts w:ascii="Times New Roman" w:hAnsi="Times New Roman"/>
      <w:b w:val="false"/>
      <w:sz w:val="24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ascii="Times New Roman" w:hAnsi="Times New Roman" w:eastAsia="Calibri" w:cs="Calibri"/>
      <w:sz w:val="24"/>
    </w:rPr>
  </w:style>
  <w:style w:type="character" w:styleId="ListLabel4">
    <w:name w:val="ListLabel 4"/>
    <w:qFormat/>
    <w:rPr>
      <w:rFonts w:ascii="Times New Roman" w:hAnsi="Times New Roman" w:eastAsia="Calibri" w:cs="Calibri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ascii="Cambria" w:hAnsi="Cambria"/>
      <w:b w:val="false"/>
      <w:sz w:val="22"/>
      <w:szCs w:val="24"/>
    </w:rPr>
  </w:style>
  <w:style w:type="character" w:styleId="ListLabel10">
    <w:name w:val="ListLabel 10"/>
    <w:qFormat/>
    <w:rPr>
      <w:rFonts w:eastAsia="Noto Sans Symbols" w:cs="Noto Sans Symbols"/>
    </w:rPr>
  </w:style>
  <w:style w:type="character" w:styleId="ListLabel11">
    <w:name w:val="ListLabel 11"/>
    <w:qFormat/>
    <w:rPr>
      <w:rFonts w:eastAsia="Noto Sans Symbols" w:cs="Noto Sans Symbols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Noto Sans Symbols" w:cs="Noto Sans Symbols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</w:rPr>
  </w:style>
  <w:style w:type="character" w:styleId="ListLabel20">
    <w:name w:val="ListLabel 20"/>
    <w:qFormat/>
    <w:rPr>
      <w:rFonts w:eastAsia="Noto Sans Symbols" w:cs="Noto Sans Symbols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ascii="Cambria" w:hAnsi="Cambria" w:eastAsia="Times New Roman" w:cs="Times New Roman"/>
      <w:b w:val="false"/>
      <w:sz w:val="22"/>
      <w:szCs w:val="24"/>
    </w:rPr>
  </w:style>
  <w:style w:type="character" w:styleId="ListLabel24">
    <w:name w:val="ListLabel 24"/>
    <w:qFormat/>
    <w:rPr>
      <w:rFonts w:ascii="Cambria" w:hAnsi="Cambria" w:eastAsia="Noto Sans Symbols" w:cs="Noto Sans Symbols"/>
      <w:b w:val="false"/>
      <w:sz w:val="22"/>
      <w:szCs w:val="22"/>
    </w:rPr>
  </w:style>
  <w:style w:type="character" w:styleId="ListLabel25">
    <w:name w:val="ListLabel 25"/>
    <w:qFormat/>
    <w:rPr>
      <w:rFonts w:ascii="Times New Roman" w:hAnsi="Times New Roman" w:eastAsia="Noto Sans Symbols" w:cs="Noto Sans Symbols"/>
      <w:b w:val="false"/>
      <w:sz w:val="24"/>
      <w:szCs w:val="24"/>
    </w:rPr>
  </w:style>
  <w:style w:type="character" w:styleId="ListLabel26">
    <w:name w:val="ListLabel 26"/>
    <w:qFormat/>
    <w:rPr>
      <w:rFonts w:eastAsia="Noto Sans Symbols" w:cs="Noto Sans Symbols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</w:rPr>
  </w:style>
  <w:style w:type="character" w:styleId="ListLabel29">
    <w:name w:val="ListLabel 29"/>
    <w:qFormat/>
    <w:rPr>
      <w:rFonts w:ascii="Cambria" w:hAnsi="Cambria" w:eastAsia="Cambria" w:cs="Cambria"/>
      <w:b w:val="false"/>
      <w:sz w:val="22"/>
      <w:szCs w:val="22"/>
    </w:rPr>
  </w:style>
  <w:style w:type="paragraph" w:styleId="Nadpis">
    <w:name w:val="Nadpis"/>
    <w:next w:val="Telotextu"/>
    <w:qFormat/>
    <w:pPr>
      <w:keepNext w:val="true"/>
      <w:widowControl/>
      <w:bidi w:val="0"/>
      <w:spacing w:before="240" w:after="120" w:lineRule="auto" w:line="259"/>
      <w:jc w:val="left"/>
    </w:pPr>
    <w:rPr>
      <w:rFonts w:ascii="Arial" w:hAnsi="Arial" w:eastAsia="Microsoft YaHei" w:cs="Lucida Sans"/>
      <w:color w:val="auto"/>
      <w:kern w:val="0"/>
      <w:sz w:val="28"/>
      <w:szCs w:val="28"/>
      <w:lang w:val="sk-SK" w:eastAsia="zh-CN" w:bidi="hi-IN"/>
    </w:rPr>
  </w:style>
  <w:style w:type="paragraph" w:styleId="Telotextu">
    <w:name w:val="Body Text"/>
    <w:pPr>
      <w:widowControl/>
      <w:bidi w:val="0"/>
      <w:spacing w:lineRule="auto" w:line="276" w:before="0" w:after="14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qFormat/>
    <w:pPr>
      <w:widowControl/>
      <w:suppressLineNumbers/>
      <w:bidi w:val="0"/>
      <w:spacing w:before="120" w:after="120" w:lineRule="auto" w:line="259"/>
      <w:jc w:val="left"/>
    </w:pPr>
    <w:rPr>
      <w:rFonts w:cs="Lucida Sans" w:ascii="Calibri" w:hAnsi="Calibri" w:eastAsia="Calibri"/>
      <w:i/>
      <w:iCs/>
      <w:color w:val="auto"/>
      <w:kern w:val="0"/>
      <w:sz w:val="24"/>
      <w:szCs w:val="24"/>
      <w:lang w:val="sk-SK" w:eastAsia="zh-CN" w:bidi="hi-IN"/>
    </w:rPr>
  </w:style>
  <w:style w:type="paragraph" w:styleId="Index">
    <w:name w:val="Index"/>
    <w:qFormat/>
    <w:pPr>
      <w:widowControl/>
      <w:suppressLineNumbers/>
      <w:bidi w:val="0"/>
      <w:spacing w:lineRule="auto" w:line="259" w:before="0" w:after="160"/>
      <w:jc w:val="left"/>
    </w:pPr>
    <w:rPr>
      <w:rFonts w:cs="Lucida Sans" w:ascii="Calibri" w:hAnsi="Calibri" w:eastAsia="Calibri"/>
      <w:color w:val="auto"/>
      <w:kern w:val="0"/>
      <w:sz w:val="22"/>
      <w:szCs w:val="22"/>
      <w:lang w:val="sk-SK" w:eastAsia="zh-CN" w:bidi="hi-IN"/>
    </w:rPr>
  </w:style>
  <w:style w:type="paragraph" w:styleId="Normal1" w:default="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zov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sk-SK" w:eastAsia="zh-CN" w:bidi="hi-IN"/>
    </w:rPr>
  </w:style>
  <w:style w:type="paragraph" w:styleId="NoSpacing">
    <w:name w:val="No Spacing"/>
    <w:uiPriority w:val="1"/>
    <w:qFormat/>
    <w:rsid w:val="004d33c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Podnadpis">
    <w:name w:val="Subtitle"/>
    <w:basedOn w:val="Normal1"/>
    <w:next w:val="Normal1"/>
    <w:qFormat/>
    <w:pPr>
      <w:keepNext w:val="true"/>
      <w:keepLines/>
      <w:widowControl/>
      <w:pBdr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zrH5m3bu8PNqMyhfbe3p6Dc0KzA==">AMUW2mVwRTwx+/3G7V7Uif1omtZazHcHMAcuXHFgiOHDPfFwr96sFV8CQEMFc8eEWlA3fgBoK/h/yfzkbQO9bm3dWpWS7ZJP1rO+CEr4YCinDLpGZjWr11s=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4</Pages>
  <Words>1328</Words>
  <Characters>8469</Characters>
  <CharactersWithSpaces>9777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2019-12-16T17:53:00Z</dcterms:created>
  <dc:creator>petro</dc:creator>
  <dc:description/>
  <dc:language>sk-SK</dc:language>
  <cp:lastModifiedBy/>
  <dcterms:modified xsi:type="dcterms:W3CDTF">2022-05-05T08:55:30Z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